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A34D" w14:textId="77777777" w:rsidR="00F07EB6" w:rsidRDefault="00000000">
      <w:pPr>
        <w:pStyle w:val="Title"/>
      </w:pPr>
      <w:r>
        <w:t>Handover note</w:t>
      </w:r>
    </w:p>
    <w:p w14:paraId="76EB6D54" w14:textId="77777777" w:rsidR="00F07EB6" w:rsidRDefault="00000000">
      <w:pPr>
        <w:pStyle w:val="Subtitle"/>
      </w:pPr>
      <w:r>
        <w:t>Tailored Core NIS2 sample bundle (redacted and anonymised)</w:t>
      </w:r>
    </w:p>
    <w:p w14:paraId="40CE1DBC" w14:textId="594C83EC" w:rsidR="00F07EB6" w:rsidRDefault="00000000">
      <w:pPr>
        <w:pStyle w:val="Heading1"/>
      </w:pPr>
      <w:r>
        <w:lastRenderedPageBreak/>
        <w:t>Purpose</w:t>
      </w:r>
    </w:p>
    <w:p w14:paraId="3E5796A1" w14:textId="77777777" w:rsidR="00F07EB6" w:rsidRDefault="00000000">
      <w:pPr>
        <w:rPr>
          <w:rFonts w:hint="eastAsia"/>
        </w:rPr>
      </w:pPr>
      <w:r>
        <w:t>This handover note explains what is included in the sample bundle, what is intentionally redacted, and how to navigate the files without additional explanation.</w:t>
      </w:r>
    </w:p>
    <w:p w14:paraId="413A7674" w14:textId="1CE3EF25" w:rsidR="00F07EB6" w:rsidRDefault="00000000">
      <w:pPr>
        <w:pStyle w:val="Heading1"/>
      </w:pPr>
      <w:r>
        <w:lastRenderedPageBreak/>
        <w:t>What is included</w:t>
      </w:r>
    </w:p>
    <w:p w14:paraId="7ADF236B" w14:textId="6F45A0D5" w:rsidR="00F07EB6" w:rsidRDefault="00000000">
      <w:pPr>
        <w:pStyle w:val="ListBullet"/>
        <w:rPr>
          <w:rFonts w:hint="eastAsia"/>
        </w:rPr>
      </w:pPr>
      <w:r>
        <w:t>NIS2_Readiness_TailoredCore_Sample_Pack.docx: The main pack overview and one end-to-end worked example.</w:t>
      </w:r>
    </w:p>
    <w:p w14:paraId="5D5EB38F" w14:textId="46838E85" w:rsidR="00F07EB6" w:rsidRDefault="00000000">
      <w:pPr>
        <w:pStyle w:val="ListBullet"/>
        <w:rPr>
          <w:rFonts w:hint="eastAsia"/>
        </w:rPr>
      </w:pPr>
      <w:r>
        <w:t>Traceability_Matrix_SAMPLE.docx: The traceability matrix showing how items link together.</w:t>
      </w:r>
    </w:p>
    <w:p w14:paraId="151B602D" w14:textId="77777777" w:rsidR="00F07EB6" w:rsidRDefault="00000000">
      <w:pPr>
        <w:pStyle w:val="ListBullet"/>
        <w:rPr>
          <w:rFonts w:hint="eastAsia"/>
        </w:rPr>
      </w:pPr>
      <w:r>
        <w:t>Folders 01-Governance to 06-Evidence: The supporting artefacts, registers, templates, and evidence folder structure.</w:t>
      </w:r>
    </w:p>
    <w:p w14:paraId="56454F0D" w14:textId="29DC21BB" w:rsidR="00F07EB6" w:rsidRDefault="00000000">
      <w:pPr>
        <w:pStyle w:val="Heading1"/>
      </w:pPr>
      <w:r>
        <w:lastRenderedPageBreak/>
        <w:t>Redaction rules used in this sample</w:t>
      </w:r>
    </w:p>
    <w:p w14:paraId="3BF6821C" w14:textId="77777777" w:rsidR="00F07EB6" w:rsidRDefault="00000000">
      <w:pPr>
        <w:rPr>
          <w:rFonts w:hint="eastAsia"/>
        </w:rPr>
      </w:pPr>
      <w:r>
        <w:t>To keep this bundle safe for sharing, most content is intentionally redacted. The general rule is:</w:t>
      </w:r>
    </w:p>
    <w:p w14:paraId="7AEA4496" w14:textId="77777777" w:rsidR="00F07EB6" w:rsidRDefault="00000000">
      <w:pPr>
        <w:pStyle w:val="ListBullet"/>
        <w:rPr>
          <w:rFonts w:hint="eastAsia"/>
        </w:rPr>
      </w:pPr>
      <w:r>
        <w:t>For each artefact document, the Purpose and scope section is shown in full.</w:t>
      </w:r>
    </w:p>
    <w:p w14:paraId="08561539" w14:textId="77777777" w:rsidR="00F07EB6" w:rsidRDefault="00000000">
      <w:pPr>
        <w:pStyle w:val="ListBullet"/>
        <w:rPr>
          <w:rFonts w:hint="eastAsia"/>
        </w:rPr>
      </w:pPr>
      <w:r>
        <w:t>All other sections are replaced with a short placeholder stating that content is redacted in the sample.</w:t>
      </w:r>
    </w:p>
    <w:p w14:paraId="6978E061" w14:textId="77777777" w:rsidR="00F07EB6" w:rsidRDefault="00000000">
      <w:pPr>
        <w:pStyle w:val="ListBullet"/>
        <w:rPr>
          <w:rFonts w:hint="eastAsia"/>
        </w:rPr>
      </w:pPr>
      <w:r>
        <w:t>One artefact is fully shown (A-09) to demonstrate the depth and quality of a client-ready procedure.</w:t>
      </w:r>
    </w:p>
    <w:p w14:paraId="5D44DDAD" w14:textId="77777777" w:rsidR="00F07EB6" w:rsidRDefault="00000000">
      <w:pPr>
        <w:pStyle w:val="ListBullet"/>
        <w:rPr>
          <w:rFonts w:hint="eastAsia"/>
        </w:rPr>
      </w:pPr>
      <w:r>
        <w:t>One end-to-end set of items is fully shown across types: R-019, C-12, T-007, A-09, AP-07, E-007.</w:t>
      </w:r>
    </w:p>
    <w:p w14:paraId="35F91A07" w14:textId="77777777" w:rsidR="00F07EB6" w:rsidRDefault="00000000">
      <w:pPr>
        <w:pStyle w:val="ListBullet"/>
        <w:rPr>
          <w:rFonts w:hint="eastAsia"/>
        </w:rPr>
      </w:pPr>
      <w:r>
        <w:t>One evidence folder (06-Evidence/E-007) includes a worked, redacted evidence example to show what “evidence” looks like in practice.</w:t>
      </w:r>
    </w:p>
    <w:p w14:paraId="306852C3" w14:textId="03F95A8C" w:rsidR="00F07EB6" w:rsidRDefault="00000000">
      <w:pPr>
        <w:pStyle w:val="Heading1"/>
      </w:pPr>
      <w:r>
        <w:lastRenderedPageBreak/>
        <w:t>How to review this bundle quickly</w:t>
      </w:r>
    </w:p>
    <w:p w14:paraId="2D3BE2F9" w14:textId="10136728" w:rsidR="00F07EB6" w:rsidRDefault="00000000">
      <w:pPr>
        <w:pStyle w:val="ListBullet"/>
        <w:rPr>
          <w:rFonts w:hint="eastAsia"/>
        </w:rPr>
      </w:pPr>
      <w:r>
        <w:t>Start with NIS2_Readiness_TailoredCore_Sample_Pack.docx section 3 for the worked example.</w:t>
      </w:r>
    </w:p>
    <w:p w14:paraId="6D7F4604" w14:textId="045C5274" w:rsidR="00F07EB6" w:rsidRDefault="00000000">
      <w:pPr>
        <w:pStyle w:val="ListBullet"/>
        <w:rPr>
          <w:rFonts w:hint="eastAsia"/>
        </w:rPr>
      </w:pPr>
      <w:r>
        <w:t>Open Traceability_Matrix_SAMPLE.docx to see cross-links between IDs.</w:t>
      </w:r>
    </w:p>
    <w:p w14:paraId="46AE064F" w14:textId="77777777" w:rsidR="00F07EB6" w:rsidRDefault="00000000">
      <w:pPr>
        <w:pStyle w:val="ListBullet"/>
        <w:rPr>
          <w:rFonts w:hint="eastAsia"/>
        </w:rPr>
      </w:pPr>
      <w:r>
        <w:t>Open 03-Procedures/A-09-HR-Security-and-JML-Procedure.docx to see the fully worked artefact example.</w:t>
      </w:r>
    </w:p>
    <w:p w14:paraId="1D34CC1C" w14:textId="77777777" w:rsidR="00F07EB6" w:rsidRDefault="00000000">
      <w:pPr>
        <w:pStyle w:val="ListBullet"/>
        <w:rPr>
          <w:rFonts w:hint="eastAsia"/>
        </w:rPr>
      </w:pPr>
      <w:r>
        <w:t>Browse folders 01-Governance to 06-Evidence to see the full delivery structure and naming conventions.</w:t>
      </w:r>
    </w:p>
    <w:sectPr w:rsidR="00F07EB6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D5581" w14:textId="77777777" w:rsidR="00E72E58" w:rsidRDefault="00E72E5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2E59969" w14:textId="77777777" w:rsidR="00E72E58" w:rsidRDefault="00E72E5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C6B2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4094F5EB" w14:textId="77777777">
      <w:tc>
        <w:tcPr>
          <w:tcW w:w="3120" w:type="dxa"/>
        </w:tcPr>
        <w:p w14:paraId="542284B0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4B492E9A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18D9B8B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577D8" w14:textId="77777777" w:rsidR="00E72E58" w:rsidRDefault="00E72E5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4ACD5DB" w14:textId="77777777" w:rsidR="00E72E58" w:rsidRDefault="00E72E5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D48C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0411EE9C" w14:textId="77777777">
      <w:tc>
        <w:tcPr>
          <w:tcW w:w="4680" w:type="dxa"/>
        </w:tcPr>
        <w:p w14:paraId="2BEDBFE6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AE7A781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52608F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72E58"/>
    <w:rsid w:val="00ED3631"/>
    <w:rsid w:val="00EE73BB"/>
    <w:rsid w:val="00F07EB6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71726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216</Words>
  <Characters>1398</Characters>
  <Application>Microsoft Office Word</Application>
  <DocSecurity>0</DocSecurity>
  <Lines>28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